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99C0D" w14:textId="77777777" w:rsidR="007358C3" w:rsidRPr="007358C3" w:rsidRDefault="007358C3" w:rsidP="007358C3">
      <w:pPr>
        <w:pStyle w:val="Nadpis1"/>
        <w:numPr>
          <w:ilvl w:val="0"/>
          <w:numId w:val="4"/>
        </w:numPr>
        <w:ind w:left="0" w:right="-110" w:firstLine="0"/>
        <w:jc w:val="left"/>
        <w:rPr>
          <w:sz w:val="6"/>
          <w:szCs w:val="8"/>
        </w:rPr>
      </w:pPr>
      <w:r w:rsidRPr="007358C3">
        <w:rPr>
          <w:b w:val="0"/>
          <w:caps w:val="0"/>
          <w:sz w:val="18"/>
          <w:szCs w:val="20"/>
        </w:rPr>
        <w:t>Příloha č. 1a</w:t>
      </w:r>
    </w:p>
    <w:p w14:paraId="30E459C4" w14:textId="77777777" w:rsidR="007358C3" w:rsidRDefault="007358C3">
      <w:pPr>
        <w:rPr>
          <w:bCs/>
        </w:rPr>
      </w:pPr>
    </w:p>
    <w:p w14:paraId="43549323" w14:textId="38114D97" w:rsidR="007358C3" w:rsidRPr="007358C3" w:rsidRDefault="007358C3" w:rsidP="007358C3">
      <w:pPr>
        <w:jc w:val="center"/>
        <w:rPr>
          <w:b/>
          <w:bCs/>
          <w:sz w:val="32"/>
        </w:rPr>
      </w:pPr>
      <w:r w:rsidRPr="007358C3">
        <w:rPr>
          <w:b/>
          <w:bCs/>
          <w:sz w:val="32"/>
        </w:rPr>
        <w:t>Technické podmínky</w:t>
      </w:r>
      <w:r w:rsidR="00110110">
        <w:rPr>
          <w:b/>
          <w:bCs/>
          <w:sz w:val="32"/>
        </w:rPr>
        <w:t xml:space="preserve"> </w:t>
      </w:r>
      <w:r w:rsidR="005B4CA2">
        <w:rPr>
          <w:b/>
          <w:bCs/>
          <w:sz w:val="32"/>
        </w:rPr>
        <w:t>k</w:t>
      </w:r>
      <w:r w:rsidR="00110110">
        <w:rPr>
          <w:b/>
          <w:bCs/>
          <w:sz w:val="32"/>
        </w:rPr>
        <w:t xml:space="preserve"> předmět</w:t>
      </w:r>
      <w:r w:rsidR="005B4CA2">
        <w:rPr>
          <w:b/>
          <w:bCs/>
          <w:sz w:val="32"/>
        </w:rPr>
        <w:t>u</w:t>
      </w:r>
      <w:r w:rsidR="00110110">
        <w:rPr>
          <w:b/>
          <w:bCs/>
          <w:sz w:val="32"/>
        </w:rPr>
        <w:t xml:space="preserve"> </w:t>
      </w:r>
      <w:r w:rsidR="005B4CA2">
        <w:rPr>
          <w:b/>
          <w:bCs/>
          <w:sz w:val="32"/>
        </w:rPr>
        <w:t>plnění</w:t>
      </w:r>
    </w:p>
    <w:tbl>
      <w:tblPr>
        <w:tblpPr w:leftFromText="141" w:rightFromText="141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095"/>
      </w:tblGrid>
      <w:tr w:rsidR="007358C3" w:rsidRPr="007358C3" w14:paraId="2D22E79B" w14:textId="77777777" w:rsidTr="00661231">
        <w:trPr>
          <w:trHeight w:val="284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9D84E0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FF5314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7358C3" w:rsidRPr="007358C3" w14:paraId="33B7E1D3" w14:textId="77777777" w:rsidTr="00661231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F1BE7C5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974ED3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 xml:space="preserve">Žďárská 610, </w:t>
            </w:r>
            <w:proofErr w:type="gramStart"/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>592 31  Nové</w:t>
            </w:r>
            <w:proofErr w:type="gramEnd"/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 xml:space="preserve"> Město na Moravě</w:t>
            </w:r>
          </w:p>
        </w:tc>
      </w:tr>
      <w:tr w:rsidR="007358C3" w:rsidRPr="007358C3" w14:paraId="5ED98860" w14:textId="77777777" w:rsidTr="00661231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05F2815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916B98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7358C3" w:rsidRPr="007358C3" w14:paraId="4AEC3A66" w14:textId="77777777" w:rsidTr="00661231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A51A2C4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DE1585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7358C3" w:rsidRPr="007358C3" w14:paraId="00E70ADC" w14:textId="77777777" w:rsidTr="00661231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38945E7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4B8982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>Generální oprava kogenerační jednotky</w:t>
            </w:r>
          </w:p>
        </w:tc>
      </w:tr>
      <w:tr w:rsidR="007358C3" w:rsidRPr="007358C3" w14:paraId="118D783D" w14:textId="77777777" w:rsidTr="00661231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A984A1A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5F996A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 xml:space="preserve">veřejná zakázka malého rozsahu na služby </w:t>
            </w:r>
          </w:p>
        </w:tc>
      </w:tr>
      <w:tr w:rsidR="007358C3" w:rsidRPr="007358C3" w14:paraId="5A1BC781" w14:textId="77777777" w:rsidTr="00661231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B4A7208" w14:textId="77777777" w:rsidR="007358C3" w:rsidRPr="007358C3" w:rsidRDefault="007358C3" w:rsidP="007358C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058DBF" w14:textId="315D7571" w:rsidR="007358C3" w:rsidRPr="007358C3" w:rsidRDefault="007358C3" w:rsidP="00A6164F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>VZ/2</w:t>
            </w:r>
            <w:r w:rsidR="00A6164F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>4</w:t>
            </w:r>
            <w:r w:rsidRPr="007358C3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>/</w:t>
            </w:r>
            <w:r w:rsidR="00A6164F">
              <w:rPr>
                <w:rFonts w:ascii="Times New Roman" w:eastAsia="Arial Unicode MS" w:hAnsi="Times New Roman" w:cs="Mangal"/>
                <w:b/>
                <w:kern w:val="2"/>
                <w:sz w:val="20"/>
                <w:szCs w:val="20"/>
                <w:lang w:eastAsia="hi-IN" w:bidi="hi-IN"/>
              </w:rPr>
              <w:t>02</w:t>
            </w:r>
            <w:bookmarkStart w:id="0" w:name="_GoBack"/>
            <w:bookmarkEnd w:id="0"/>
          </w:p>
        </w:tc>
      </w:tr>
    </w:tbl>
    <w:p w14:paraId="76C18816" w14:textId="77777777" w:rsidR="00AD09A3" w:rsidRPr="002F7640" w:rsidRDefault="00AD09A3">
      <w:pPr>
        <w:rPr>
          <w:bCs/>
        </w:rPr>
      </w:pPr>
    </w:p>
    <w:p w14:paraId="798EA73B" w14:textId="201AF1C2" w:rsidR="00291504" w:rsidRDefault="00291504" w:rsidP="007358C3">
      <w:pPr>
        <w:jc w:val="center"/>
        <w:rPr>
          <w:b/>
          <w:bCs/>
        </w:rPr>
      </w:pPr>
      <w:r>
        <w:rPr>
          <w:b/>
          <w:bCs/>
        </w:rPr>
        <w:t xml:space="preserve">GENERÁLNÍ OPRAVA KOGENERAČNÍ JEDNOTKY </w:t>
      </w:r>
      <w:r w:rsidR="00B13FD3">
        <w:rPr>
          <w:b/>
          <w:bCs/>
        </w:rPr>
        <w:t xml:space="preserve">CENTO </w:t>
      </w:r>
      <w:r>
        <w:rPr>
          <w:b/>
          <w:bCs/>
        </w:rPr>
        <w:t>T200</w:t>
      </w:r>
    </w:p>
    <w:p w14:paraId="26FC77F6" w14:textId="4CDC47FB" w:rsidR="00110110" w:rsidRDefault="00110110" w:rsidP="0068459A">
      <w:pPr>
        <w:pStyle w:val="Odstavecseseznamem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jc w:val="both"/>
        <w:rPr>
          <w:b/>
          <w:bCs/>
        </w:rPr>
      </w:pPr>
      <w:r w:rsidRPr="0068459A">
        <w:rPr>
          <w:b/>
          <w:bCs/>
        </w:rPr>
        <w:t xml:space="preserve">Předmětem plnění je </w:t>
      </w:r>
      <w:r w:rsidR="00291504" w:rsidRPr="0068459A">
        <w:rPr>
          <w:b/>
          <w:bCs/>
        </w:rPr>
        <w:t xml:space="preserve">provedení generální opravy kogenerační jednotky </w:t>
      </w:r>
      <w:r w:rsidR="00B13FD3">
        <w:rPr>
          <w:b/>
          <w:bCs/>
        </w:rPr>
        <w:t>CENTO</w:t>
      </w:r>
      <w:r w:rsidR="00291504" w:rsidRPr="0068459A">
        <w:rPr>
          <w:b/>
          <w:bCs/>
        </w:rPr>
        <w:t xml:space="preserve"> T200</w:t>
      </w:r>
      <w:r w:rsidR="000108FC">
        <w:rPr>
          <w:b/>
          <w:bCs/>
        </w:rPr>
        <w:t xml:space="preserve"> ve vlastnictví zadavatele</w:t>
      </w:r>
      <w:r w:rsidRPr="003E44F3">
        <w:rPr>
          <w:b/>
          <w:bCs/>
        </w:rPr>
        <w:t xml:space="preserve"> - </w:t>
      </w:r>
      <w:r w:rsidR="00426179" w:rsidRPr="003E44F3">
        <w:rPr>
          <w:b/>
          <w:bCs/>
        </w:rPr>
        <w:t xml:space="preserve">provedení </w:t>
      </w:r>
      <w:r w:rsidRPr="003E44F3">
        <w:rPr>
          <w:b/>
          <w:bCs/>
        </w:rPr>
        <w:t xml:space="preserve">generální opravy </w:t>
      </w:r>
      <w:r w:rsidR="00426179" w:rsidRPr="003E44F3">
        <w:rPr>
          <w:b/>
          <w:bCs/>
        </w:rPr>
        <w:t>na motoru</w:t>
      </w:r>
      <w:r w:rsidRPr="003E44F3">
        <w:rPr>
          <w:b/>
          <w:bCs/>
        </w:rPr>
        <w:t>,</w:t>
      </w:r>
      <w:r w:rsidR="00AD09A3" w:rsidRPr="003E44F3">
        <w:rPr>
          <w:b/>
          <w:bCs/>
        </w:rPr>
        <w:t xml:space="preserve"> </w:t>
      </w:r>
      <w:r w:rsidRPr="003E44F3">
        <w:rPr>
          <w:b/>
          <w:bCs/>
        </w:rPr>
        <w:t xml:space="preserve">výměny </w:t>
      </w:r>
      <w:r w:rsidR="00426179" w:rsidRPr="003E44F3">
        <w:rPr>
          <w:b/>
          <w:bCs/>
        </w:rPr>
        <w:t>generátoru</w:t>
      </w:r>
      <w:r w:rsidR="00AD09A3" w:rsidRPr="003E44F3">
        <w:rPr>
          <w:b/>
          <w:bCs/>
        </w:rPr>
        <w:t xml:space="preserve"> za nový</w:t>
      </w:r>
      <w:r w:rsidRPr="003E44F3">
        <w:rPr>
          <w:b/>
          <w:bCs/>
        </w:rPr>
        <w:t xml:space="preserve"> a nepoužitý generátor</w:t>
      </w:r>
      <w:r w:rsidR="00426179" w:rsidRPr="003E44F3">
        <w:rPr>
          <w:b/>
          <w:bCs/>
        </w:rPr>
        <w:t xml:space="preserve">. </w:t>
      </w:r>
    </w:p>
    <w:p w14:paraId="386E2836" w14:textId="6911C7DC" w:rsidR="000108FC" w:rsidRPr="0068459A" w:rsidRDefault="000108FC" w:rsidP="0068459A">
      <w:pPr>
        <w:pStyle w:val="Odstavecseseznamem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jc w:val="both"/>
        <w:rPr>
          <w:b/>
          <w:bCs/>
        </w:rPr>
      </w:pPr>
      <w:r>
        <w:rPr>
          <w:b/>
          <w:bCs/>
        </w:rPr>
        <w:t xml:space="preserve">Nákres </w:t>
      </w:r>
      <w:r w:rsidR="00893615">
        <w:rPr>
          <w:b/>
          <w:bCs/>
        </w:rPr>
        <w:t xml:space="preserve">stávající </w:t>
      </w:r>
      <w:r>
        <w:rPr>
          <w:b/>
          <w:bCs/>
        </w:rPr>
        <w:t>kogenerační jednotky je přílohou č. 1b předmětné výzvy k podání nabídek (dále jen „výzva“</w:t>
      </w:r>
      <w:r w:rsidR="00893615">
        <w:rPr>
          <w:b/>
          <w:bCs/>
        </w:rPr>
        <w:t>)</w:t>
      </w:r>
      <w:r>
        <w:rPr>
          <w:b/>
          <w:bCs/>
        </w:rPr>
        <w:t xml:space="preserve">. Položkový rozpočet k předmětu plnění je přílohou č. </w:t>
      </w:r>
      <w:r w:rsidR="00173062">
        <w:rPr>
          <w:b/>
          <w:bCs/>
        </w:rPr>
        <w:t>2</w:t>
      </w:r>
      <w:r>
        <w:rPr>
          <w:b/>
          <w:bCs/>
        </w:rPr>
        <w:t xml:space="preserve"> výzvy.</w:t>
      </w:r>
    </w:p>
    <w:p w14:paraId="07A722DE" w14:textId="6AEA832E" w:rsidR="00291504" w:rsidRPr="00B13FD3" w:rsidRDefault="000108FC" w:rsidP="0068459A">
      <w:pPr>
        <w:pStyle w:val="Odstavecseseznamem"/>
        <w:numPr>
          <w:ilvl w:val="1"/>
          <w:numId w:val="5"/>
        </w:numPr>
        <w:spacing w:before="120" w:after="120" w:line="240" w:lineRule="auto"/>
        <w:contextualSpacing w:val="0"/>
        <w:jc w:val="both"/>
        <w:rPr>
          <w:b/>
          <w:bCs/>
          <w:color w:val="FF0000"/>
        </w:rPr>
      </w:pPr>
      <w:r w:rsidRPr="0068459A">
        <w:rPr>
          <w:b/>
          <w:bCs/>
        </w:rPr>
        <w:t>G</w:t>
      </w:r>
      <w:r w:rsidR="007E78B2" w:rsidRPr="0068459A">
        <w:rPr>
          <w:b/>
          <w:bCs/>
        </w:rPr>
        <w:t xml:space="preserve">enerální </w:t>
      </w:r>
      <w:r w:rsidRPr="0068459A">
        <w:rPr>
          <w:b/>
          <w:bCs/>
        </w:rPr>
        <w:t xml:space="preserve">oprava </w:t>
      </w:r>
      <w:r w:rsidR="00426179" w:rsidRPr="0068459A">
        <w:rPr>
          <w:b/>
          <w:bCs/>
        </w:rPr>
        <w:t>motoru</w:t>
      </w:r>
      <w:r w:rsidRPr="0068459A">
        <w:rPr>
          <w:b/>
          <w:bCs/>
        </w:rPr>
        <w:t xml:space="preserve"> minimálně </w:t>
      </w:r>
      <w:r w:rsidRPr="00B13FD3">
        <w:rPr>
          <w:b/>
          <w:bCs/>
        </w:rPr>
        <w:t>zahrnuje</w:t>
      </w:r>
      <w:r w:rsidR="00B13FD3">
        <w:rPr>
          <w:b/>
          <w:bCs/>
        </w:rPr>
        <w:t xml:space="preserve"> </w:t>
      </w:r>
      <w:r w:rsidR="001E0534" w:rsidRPr="00B13FD3">
        <w:rPr>
          <w:b/>
          <w:bCs/>
          <w:u w:val="single"/>
        </w:rPr>
        <w:t>výměnu</w:t>
      </w:r>
      <w:r w:rsidR="00291504" w:rsidRPr="00B13FD3">
        <w:rPr>
          <w:b/>
          <w:bCs/>
        </w:rPr>
        <w:t xml:space="preserve">: </w:t>
      </w:r>
    </w:p>
    <w:p w14:paraId="31F1513A" w14:textId="77777777" w:rsidR="00291504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Pístová skupina</w:t>
      </w:r>
    </w:p>
    <w:p w14:paraId="11C5E8DA" w14:textId="52DD0662" w:rsidR="00426179" w:rsidRPr="00B13FD3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 w:rsidRPr="00B13FD3">
        <w:rPr>
          <w:bCs/>
        </w:rPr>
        <w:t>O</w:t>
      </w:r>
      <w:r w:rsidR="00426179" w:rsidRPr="00B13FD3">
        <w:rPr>
          <w:bCs/>
        </w:rPr>
        <w:t>jnice</w:t>
      </w:r>
      <w:r w:rsidR="00346C4D" w:rsidRPr="00B13FD3">
        <w:rPr>
          <w:bCs/>
        </w:rPr>
        <w:t xml:space="preserve">   </w:t>
      </w:r>
    </w:p>
    <w:p w14:paraId="7082B14F" w14:textId="150B21DA" w:rsidR="00426179" w:rsidRPr="00B13FD3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 w:rsidRPr="00B13FD3">
        <w:rPr>
          <w:bCs/>
        </w:rPr>
        <w:t>U</w:t>
      </w:r>
      <w:r w:rsidR="00426179" w:rsidRPr="00B13FD3">
        <w:rPr>
          <w:bCs/>
        </w:rPr>
        <w:t>ložení klikového hřídele</w:t>
      </w:r>
      <w:r w:rsidR="00346C4D" w:rsidRPr="00B13FD3">
        <w:rPr>
          <w:bCs/>
        </w:rPr>
        <w:t xml:space="preserve"> </w:t>
      </w:r>
    </w:p>
    <w:p w14:paraId="60D913CA" w14:textId="77777777" w:rsidR="00426179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Axiální kroužky</w:t>
      </w:r>
    </w:p>
    <w:p w14:paraId="02D92266" w14:textId="77777777" w:rsidR="00426179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Vačkový hřídel</w:t>
      </w:r>
    </w:p>
    <w:p w14:paraId="5F0959C0" w14:textId="77777777" w:rsidR="00426179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O</w:t>
      </w:r>
      <w:r w:rsidR="00426179">
        <w:rPr>
          <w:bCs/>
        </w:rPr>
        <w:t>lejové čerpadl</w:t>
      </w:r>
      <w:r>
        <w:rPr>
          <w:bCs/>
        </w:rPr>
        <w:t>o</w:t>
      </w:r>
    </w:p>
    <w:p w14:paraId="04C50B86" w14:textId="77777777" w:rsidR="00426179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Čelo</w:t>
      </w:r>
      <w:r w:rsidR="00426179">
        <w:rPr>
          <w:bCs/>
        </w:rPr>
        <w:t xml:space="preserve"> motoru</w:t>
      </w:r>
    </w:p>
    <w:p w14:paraId="1657C5F6" w14:textId="77777777" w:rsidR="00426179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Č</w:t>
      </w:r>
      <w:r w:rsidR="00426179">
        <w:rPr>
          <w:bCs/>
        </w:rPr>
        <w:t>ep vahadel s vahadly a kozlíky</w:t>
      </w:r>
    </w:p>
    <w:p w14:paraId="40521D46" w14:textId="77777777" w:rsidR="00426179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P</w:t>
      </w:r>
      <w:r w:rsidR="00426179">
        <w:rPr>
          <w:bCs/>
        </w:rPr>
        <w:t>látkovan</w:t>
      </w:r>
      <w:r>
        <w:rPr>
          <w:bCs/>
        </w:rPr>
        <w:t>á</w:t>
      </w:r>
      <w:r w:rsidR="00426179">
        <w:rPr>
          <w:bCs/>
        </w:rPr>
        <w:t xml:space="preserve"> zdvihátk</w:t>
      </w:r>
      <w:r>
        <w:rPr>
          <w:bCs/>
        </w:rPr>
        <w:t>a ventilů</w:t>
      </w:r>
    </w:p>
    <w:p w14:paraId="2939D508" w14:textId="77777777" w:rsidR="007E78B2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Tyčky zdvihátek</w:t>
      </w:r>
    </w:p>
    <w:p w14:paraId="2AAE5C24" w14:textId="77777777" w:rsidR="00426179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2 varianty</w:t>
      </w:r>
      <w:r w:rsidR="00426179">
        <w:rPr>
          <w:bCs/>
        </w:rPr>
        <w:t xml:space="preserve"> snímání otáček pro zapalování</w:t>
      </w:r>
    </w:p>
    <w:p w14:paraId="7E118872" w14:textId="77777777" w:rsidR="00426179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H</w:t>
      </w:r>
      <w:r w:rsidR="00426179">
        <w:rPr>
          <w:bCs/>
        </w:rPr>
        <w:t>avarijní snímač tlaku oleje</w:t>
      </w:r>
    </w:p>
    <w:p w14:paraId="01AC8689" w14:textId="77777777" w:rsidR="00426179" w:rsidRDefault="007E78B2" w:rsidP="0068459A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>
        <w:rPr>
          <w:bCs/>
        </w:rPr>
        <w:t>P</w:t>
      </w:r>
      <w:r w:rsidR="00426179">
        <w:rPr>
          <w:bCs/>
        </w:rPr>
        <w:t>řipojovací armatur</w:t>
      </w:r>
      <w:r>
        <w:rPr>
          <w:bCs/>
        </w:rPr>
        <w:t>y</w:t>
      </w:r>
      <w:r w:rsidR="00426179">
        <w:rPr>
          <w:bCs/>
        </w:rPr>
        <w:t xml:space="preserve"> pro zapojení vodou chlazeného turbodmychadla</w:t>
      </w:r>
    </w:p>
    <w:p w14:paraId="2FC7310C" w14:textId="773015E6" w:rsidR="001D4793" w:rsidRPr="00B13FD3" w:rsidRDefault="007E78B2" w:rsidP="001D4793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 w:rsidRPr="00B13FD3">
        <w:rPr>
          <w:bCs/>
        </w:rPr>
        <w:t>K</w:t>
      </w:r>
      <w:r w:rsidR="00426179" w:rsidRPr="00B13FD3">
        <w:rPr>
          <w:bCs/>
        </w:rPr>
        <w:t>azetové těsnění.</w:t>
      </w:r>
      <w:r w:rsidR="00346C4D" w:rsidRPr="00B13FD3">
        <w:rPr>
          <w:bCs/>
        </w:rPr>
        <w:t xml:space="preserve">  </w:t>
      </w:r>
    </w:p>
    <w:p w14:paraId="57094B79" w14:textId="7D8B4CF6" w:rsidR="001E0534" w:rsidRPr="00B13FD3" w:rsidRDefault="001E0534" w:rsidP="001D4793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 w:rsidRPr="00B13FD3">
        <w:rPr>
          <w:bCs/>
        </w:rPr>
        <w:t xml:space="preserve">Tlumič výfuku </w:t>
      </w:r>
    </w:p>
    <w:p w14:paraId="398B7757" w14:textId="039A7F2C" w:rsidR="001E0534" w:rsidRPr="00B13FD3" w:rsidRDefault="001E0534" w:rsidP="001D4793">
      <w:pPr>
        <w:pStyle w:val="Odstavecseseznamem"/>
        <w:numPr>
          <w:ilvl w:val="0"/>
          <w:numId w:val="1"/>
        </w:numPr>
        <w:spacing w:before="120" w:after="120" w:line="240" w:lineRule="auto"/>
        <w:contextualSpacing w:val="0"/>
        <w:rPr>
          <w:bCs/>
        </w:rPr>
      </w:pPr>
      <w:r w:rsidRPr="00B13FD3">
        <w:rPr>
          <w:bCs/>
        </w:rPr>
        <w:t xml:space="preserve">Spalinový výměník </w:t>
      </w:r>
    </w:p>
    <w:p w14:paraId="10A3CCAA" w14:textId="77777777" w:rsidR="00426179" w:rsidRDefault="00426179" w:rsidP="0068459A">
      <w:pPr>
        <w:pStyle w:val="Odstavecseseznamem"/>
        <w:spacing w:before="120" w:after="120" w:line="240" w:lineRule="auto"/>
        <w:contextualSpacing w:val="0"/>
        <w:rPr>
          <w:bCs/>
        </w:rPr>
      </w:pPr>
    </w:p>
    <w:p w14:paraId="76EF5299" w14:textId="66E60063" w:rsidR="00426179" w:rsidRDefault="000108FC" w:rsidP="0068459A">
      <w:pPr>
        <w:pStyle w:val="Odstavecseseznamem"/>
        <w:numPr>
          <w:ilvl w:val="1"/>
          <w:numId w:val="5"/>
        </w:numPr>
        <w:spacing w:before="120" w:after="12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>Nově dodaný generátor musí být nový a nepoužitý.</w:t>
      </w:r>
    </w:p>
    <w:p w14:paraId="1D179D1A" w14:textId="77777777" w:rsidR="003D5DDE" w:rsidRPr="003D5DDE" w:rsidRDefault="003D5DDE" w:rsidP="003E44F3">
      <w:pPr>
        <w:pStyle w:val="Odstavecseseznamem"/>
        <w:numPr>
          <w:ilvl w:val="1"/>
          <w:numId w:val="5"/>
        </w:numPr>
        <w:jc w:val="both"/>
        <w:rPr>
          <w:b/>
          <w:bCs/>
        </w:rPr>
      </w:pPr>
      <w:r w:rsidRPr="003D5DDE">
        <w:rPr>
          <w:b/>
          <w:bCs/>
        </w:rPr>
        <w:lastRenderedPageBreak/>
        <w:t xml:space="preserve">Součástí předmětu plnění je i zpracování dokumentace skutečného provedení díla a veškeré zkoušky, revize a zajištění všech dokladů nutných pro řádné předání a uvedení díla do provozu. </w:t>
      </w:r>
    </w:p>
    <w:p w14:paraId="07DA2D18" w14:textId="77777777" w:rsidR="008639BA" w:rsidRPr="008639BA" w:rsidRDefault="008639BA" w:rsidP="001B5663">
      <w:pPr>
        <w:pStyle w:val="Odstavecseseznamem"/>
        <w:numPr>
          <w:ilvl w:val="1"/>
          <w:numId w:val="5"/>
        </w:numPr>
        <w:spacing w:before="120" w:after="120" w:line="240" w:lineRule="auto"/>
        <w:contextualSpacing w:val="0"/>
        <w:jc w:val="both"/>
        <w:rPr>
          <w:b/>
          <w:bCs/>
        </w:rPr>
      </w:pPr>
      <w:r w:rsidRPr="008639BA">
        <w:rPr>
          <w:b/>
          <w:bCs/>
        </w:rPr>
        <w:t>Veškeré práce musí být provedeny v souladu s technologickými předpisy, ustanoveními příslušných norem, právních předpisů a v předepsané kvalitě a včas.</w:t>
      </w:r>
    </w:p>
    <w:p w14:paraId="0817046D" w14:textId="55B7C515" w:rsidR="0023421B" w:rsidRPr="00373B89" w:rsidRDefault="00346C4D" w:rsidP="00373B89">
      <w:pPr>
        <w:pStyle w:val="Odstavecseseznamem"/>
        <w:numPr>
          <w:ilvl w:val="1"/>
          <w:numId w:val="5"/>
        </w:numPr>
        <w:spacing w:before="120" w:after="120" w:line="240" w:lineRule="auto"/>
        <w:contextualSpacing w:val="0"/>
        <w:jc w:val="both"/>
        <w:rPr>
          <w:b/>
          <w:bCs/>
        </w:rPr>
      </w:pPr>
      <w:r w:rsidRPr="00373B89">
        <w:rPr>
          <w:b/>
          <w:bCs/>
        </w:rPr>
        <w:t xml:space="preserve">Celý předmět </w:t>
      </w:r>
      <w:r w:rsidR="00291BE7" w:rsidRPr="00373B89">
        <w:rPr>
          <w:b/>
          <w:bCs/>
        </w:rPr>
        <w:t>plnění musí být proveden tak aby k</w:t>
      </w:r>
      <w:r w:rsidRPr="00373B89">
        <w:rPr>
          <w:b/>
          <w:bCs/>
        </w:rPr>
        <w:t xml:space="preserve">ogenerační jednotka TEDOM </w:t>
      </w:r>
      <w:proofErr w:type="spellStart"/>
      <w:r w:rsidRPr="00373B89">
        <w:rPr>
          <w:b/>
          <w:bCs/>
        </w:rPr>
        <w:t>Cento</w:t>
      </w:r>
      <w:proofErr w:type="spellEnd"/>
      <w:r w:rsidRPr="00373B89">
        <w:rPr>
          <w:b/>
          <w:bCs/>
        </w:rPr>
        <w:t xml:space="preserve"> T 200 </w:t>
      </w:r>
      <w:proofErr w:type="spellStart"/>
      <w:proofErr w:type="gramStart"/>
      <w:r w:rsidRPr="00373B89">
        <w:rPr>
          <w:b/>
          <w:bCs/>
        </w:rPr>
        <w:t>v.č</w:t>
      </w:r>
      <w:proofErr w:type="spellEnd"/>
      <w:r w:rsidRPr="00373B89">
        <w:rPr>
          <w:b/>
          <w:bCs/>
        </w:rPr>
        <w:t>.</w:t>
      </w:r>
      <w:proofErr w:type="gramEnd"/>
      <w:r w:rsidRPr="00373B89">
        <w:rPr>
          <w:b/>
          <w:bCs/>
        </w:rPr>
        <w:t xml:space="preserve"> 02292</w:t>
      </w:r>
      <w:r w:rsidR="00291BE7" w:rsidRPr="00373B89">
        <w:rPr>
          <w:b/>
          <w:bCs/>
        </w:rPr>
        <w:t xml:space="preserve"> </w:t>
      </w:r>
      <w:r w:rsidRPr="00373B89">
        <w:rPr>
          <w:b/>
          <w:bCs/>
        </w:rPr>
        <w:t xml:space="preserve"> splňova</w:t>
      </w:r>
      <w:r w:rsidR="00291BE7" w:rsidRPr="00373B89">
        <w:rPr>
          <w:b/>
          <w:bCs/>
        </w:rPr>
        <w:t xml:space="preserve">la </w:t>
      </w:r>
      <w:r w:rsidR="001D4793" w:rsidRPr="00373B89">
        <w:rPr>
          <w:b/>
          <w:bCs/>
        </w:rPr>
        <w:t xml:space="preserve">stanovené </w:t>
      </w:r>
      <w:r w:rsidRPr="00373B89">
        <w:rPr>
          <w:b/>
          <w:bCs/>
        </w:rPr>
        <w:t>parametry</w:t>
      </w:r>
      <w:r w:rsidR="001D4793" w:rsidRPr="00373B89">
        <w:rPr>
          <w:b/>
          <w:bCs/>
        </w:rPr>
        <w:t>,</w:t>
      </w:r>
      <w:r w:rsidRPr="00373B89">
        <w:rPr>
          <w:b/>
          <w:bCs/>
        </w:rPr>
        <w:t xml:space="preserve"> uvedené v technické dokumentaci výrobce</w:t>
      </w:r>
      <w:r w:rsidR="00373B89" w:rsidRPr="00373B89">
        <w:rPr>
          <w:b/>
          <w:bCs/>
        </w:rPr>
        <w:t>.</w:t>
      </w:r>
      <w:r w:rsidRPr="00373B89">
        <w:rPr>
          <w:b/>
          <w:bCs/>
        </w:rPr>
        <w:t xml:space="preserve"> </w:t>
      </w:r>
    </w:p>
    <w:p w14:paraId="03205EC9" w14:textId="313376DE" w:rsidR="00B871D7" w:rsidRDefault="00B871D7" w:rsidP="00633AE6">
      <w:pPr>
        <w:pStyle w:val="Odstavecseseznamem"/>
        <w:numPr>
          <w:ilvl w:val="1"/>
          <w:numId w:val="5"/>
        </w:numPr>
        <w:spacing w:before="120" w:after="12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 xml:space="preserve">Předmět plnění zahrnuje </w:t>
      </w:r>
      <w:r w:rsidR="00893615">
        <w:rPr>
          <w:b/>
          <w:bCs/>
        </w:rPr>
        <w:t xml:space="preserve">veškeré </w:t>
      </w:r>
      <w:r w:rsidR="00C37BD1">
        <w:rPr>
          <w:b/>
          <w:bCs/>
        </w:rPr>
        <w:t xml:space="preserve">dodávky, služby a </w:t>
      </w:r>
      <w:r>
        <w:rPr>
          <w:b/>
          <w:bCs/>
        </w:rPr>
        <w:t xml:space="preserve">činnosti </w:t>
      </w:r>
      <w:r w:rsidR="00AE344B">
        <w:rPr>
          <w:b/>
          <w:bCs/>
        </w:rPr>
        <w:t>potřebné k </w:t>
      </w:r>
      <w:r>
        <w:rPr>
          <w:b/>
          <w:bCs/>
        </w:rPr>
        <w:t>realizac</w:t>
      </w:r>
      <w:r w:rsidR="00AE344B">
        <w:rPr>
          <w:b/>
          <w:bCs/>
        </w:rPr>
        <w:t xml:space="preserve">i </w:t>
      </w:r>
      <w:r>
        <w:rPr>
          <w:b/>
          <w:bCs/>
        </w:rPr>
        <w:t>předmětu plnění</w:t>
      </w:r>
      <w:r w:rsidR="00942CDC">
        <w:rPr>
          <w:b/>
          <w:bCs/>
        </w:rPr>
        <w:t xml:space="preserve"> (např.</w:t>
      </w:r>
      <w:r>
        <w:rPr>
          <w:b/>
          <w:bCs/>
        </w:rPr>
        <w:t xml:space="preserve"> dopravu do místa plnění, pronájmy pomocných technologií, ubytovací služby </w:t>
      </w:r>
      <w:r w:rsidR="00942CDC">
        <w:rPr>
          <w:b/>
          <w:bCs/>
        </w:rPr>
        <w:t xml:space="preserve">pro dodavatele </w:t>
      </w:r>
      <w:r>
        <w:rPr>
          <w:b/>
          <w:bCs/>
        </w:rPr>
        <w:t>atd.</w:t>
      </w:r>
      <w:r w:rsidR="00942CDC">
        <w:rPr>
          <w:b/>
          <w:bCs/>
        </w:rPr>
        <w:t>)</w:t>
      </w:r>
    </w:p>
    <w:p w14:paraId="5DC8E64F" w14:textId="77777777" w:rsidR="000108FC" w:rsidRDefault="000108FC">
      <w:pPr>
        <w:rPr>
          <w:b/>
          <w:bCs/>
        </w:rPr>
      </w:pPr>
    </w:p>
    <w:p w14:paraId="4043611F" w14:textId="77777777" w:rsidR="008902BD" w:rsidRPr="003E44F3" w:rsidRDefault="008902BD" w:rsidP="003E44F3">
      <w:pPr>
        <w:rPr>
          <w:b/>
          <w:bCs/>
          <w:strike/>
        </w:rPr>
      </w:pPr>
    </w:p>
    <w:sectPr w:rsidR="008902BD" w:rsidRPr="003E4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313564" w15:done="0"/>
  <w15:commentEx w15:paraId="213F66BC" w15:done="0"/>
  <w15:commentEx w15:paraId="511B7537" w15:done="0"/>
  <w15:commentEx w15:paraId="299189CA" w15:done="0"/>
  <w15:commentEx w15:paraId="77ED2D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AF177A0" w16cex:dateUtc="2023-11-15T07:36:00Z"/>
  <w16cex:commentExtensible w16cex:durableId="110DA432" w16cex:dateUtc="2023-11-15T07:36:00Z"/>
  <w16cex:commentExtensible w16cex:durableId="31FC383B" w16cex:dateUtc="2023-11-15T07:37:00Z"/>
  <w16cex:commentExtensible w16cex:durableId="3D86C260" w16cex:dateUtc="2023-11-15T08:09:00Z"/>
  <w16cex:commentExtensible w16cex:durableId="4DF399B2" w16cex:dateUtc="2023-11-15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313564" w16cid:durableId="4AF177A0"/>
  <w16cid:commentId w16cid:paraId="213F66BC" w16cid:durableId="110DA432"/>
  <w16cid:commentId w16cid:paraId="511B7537" w16cid:durableId="31FC383B"/>
  <w16cid:commentId w16cid:paraId="299189CA" w16cid:durableId="3D86C260"/>
  <w16cid:commentId w16cid:paraId="77ED2D5A" w16cid:durableId="4DF399B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2D6224"/>
    <w:multiLevelType w:val="hybridMultilevel"/>
    <w:tmpl w:val="921E0A18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6423CCD"/>
    <w:multiLevelType w:val="hybridMultilevel"/>
    <w:tmpl w:val="46BE57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F12EF2"/>
    <w:multiLevelType w:val="hybridMultilevel"/>
    <w:tmpl w:val="724AF5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56AB4"/>
    <w:multiLevelType w:val="multilevel"/>
    <w:tmpl w:val="836C6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gr. Alena Ševčíková">
    <w15:presenceInfo w15:providerId="None" w15:userId="Mgr. Alena Ševčí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8D"/>
    <w:rsid w:val="000108FC"/>
    <w:rsid w:val="00025F72"/>
    <w:rsid w:val="00030D8C"/>
    <w:rsid w:val="000316BB"/>
    <w:rsid w:val="00110110"/>
    <w:rsid w:val="00125E54"/>
    <w:rsid w:val="001655C0"/>
    <w:rsid w:val="00173062"/>
    <w:rsid w:val="001B5663"/>
    <w:rsid w:val="001D4793"/>
    <w:rsid w:val="001E0534"/>
    <w:rsid w:val="0020415D"/>
    <w:rsid w:val="0023421B"/>
    <w:rsid w:val="00235C18"/>
    <w:rsid w:val="0023760A"/>
    <w:rsid w:val="00291504"/>
    <w:rsid w:val="00291BE7"/>
    <w:rsid w:val="002F7640"/>
    <w:rsid w:val="003252BB"/>
    <w:rsid w:val="00346C4D"/>
    <w:rsid w:val="00373B89"/>
    <w:rsid w:val="003D5DDE"/>
    <w:rsid w:val="003E44F3"/>
    <w:rsid w:val="003F56ED"/>
    <w:rsid w:val="0041708D"/>
    <w:rsid w:val="00426179"/>
    <w:rsid w:val="004A439B"/>
    <w:rsid w:val="004F4CAD"/>
    <w:rsid w:val="00550BC7"/>
    <w:rsid w:val="005578B0"/>
    <w:rsid w:val="005814F7"/>
    <w:rsid w:val="005B4CA2"/>
    <w:rsid w:val="00633AE6"/>
    <w:rsid w:val="0068459A"/>
    <w:rsid w:val="007316F9"/>
    <w:rsid w:val="007358C3"/>
    <w:rsid w:val="00745367"/>
    <w:rsid w:val="007E78B2"/>
    <w:rsid w:val="008639BA"/>
    <w:rsid w:val="00883DBC"/>
    <w:rsid w:val="008902BD"/>
    <w:rsid w:val="00891888"/>
    <w:rsid w:val="00893615"/>
    <w:rsid w:val="009352C9"/>
    <w:rsid w:val="00942CDC"/>
    <w:rsid w:val="00A5031B"/>
    <w:rsid w:val="00A6164F"/>
    <w:rsid w:val="00AC6457"/>
    <w:rsid w:val="00AD09A3"/>
    <w:rsid w:val="00AE344B"/>
    <w:rsid w:val="00B13FD3"/>
    <w:rsid w:val="00B30FE9"/>
    <w:rsid w:val="00B449F0"/>
    <w:rsid w:val="00B60324"/>
    <w:rsid w:val="00B871D7"/>
    <w:rsid w:val="00BC7C8F"/>
    <w:rsid w:val="00C37BD1"/>
    <w:rsid w:val="00C44B41"/>
    <w:rsid w:val="00C60EBB"/>
    <w:rsid w:val="00C70320"/>
    <w:rsid w:val="00D0219B"/>
    <w:rsid w:val="00DA2771"/>
    <w:rsid w:val="00DE7A57"/>
    <w:rsid w:val="00E37DD9"/>
    <w:rsid w:val="00E91382"/>
    <w:rsid w:val="00ED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4C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7358C3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SimSun" w:hAnsi="Times New Roman" w:cs="Arial"/>
      <w:b/>
      <w:bCs/>
      <w:caps/>
      <w:kern w:val="1"/>
      <w:sz w:val="36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65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91504"/>
    <w:pPr>
      <w:ind w:left="720"/>
      <w:contextualSpacing/>
    </w:pPr>
  </w:style>
  <w:style w:type="table" w:styleId="Mkatabulky">
    <w:name w:val="Table Grid"/>
    <w:basedOn w:val="Normlntabulka"/>
    <w:uiPriority w:val="39"/>
    <w:rsid w:val="002F7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358C3"/>
    <w:rPr>
      <w:rFonts w:ascii="Times New Roman" w:eastAsia="SimSun" w:hAnsi="Times New Roman" w:cs="Arial"/>
      <w:b/>
      <w:bCs/>
      <w:caps/>
      <w:kern w:val="1"/>
      <w:sz w:val="36"/>
      <w:szCs w:val="24"/>
      <w:lang w:eastAsia="hi-IN" w:bidi="hi-IN"/>
    </w:rPr>
  </w:style>
  <w:style w:type="paragraph" w:styleId="Revize">
    <w:name w:val="Revision"/>
    <w:hidden/>
    <w:uiPriority w:val="99"/>
    <w:semiHidden/>
    <w:rsid w:val="00110110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108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08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08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08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08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7358C3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SimSun" w:hAnsi="Times New Roman" w:cs="Arial"/>
      <w:b/>
      <w:bCs/>
      <w:caps/>
      <w:kern w:val="1"/>
      <w:sz w:val="36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65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91504"/>
    <w:pPr>
      <w:ind w:left="720"/>
      <w:contextualSpacing/>
    </w:pPr>
  </w:style>
  <w:style w:type="table" w:styleId="Mkatabulky">
    <w:name w:val="Table Grid"/>
    <w:basedOn w:val="Normlntabulka"/>
    <w:uiPriority w:val="39"/>
    <w:rsid w:val="002F7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358C3"/>
    <w:rPr>
      <w:rFonts w:ascii="Times New Roman" w:eastAsia="SimSun" w:hAnsi="Times New Roman" w:cs="Arial"/>
      <w:b/>
      <w:bCs/>
      <w:caps/>
      <w:kern w:val="1"/>
      <w:sz w:val="36"/>
      <w:szCs w:val="24"/>
      <w:lang w:eastAsia="hi-IN" w:bidi="hi-IN"/>
    </w:rPr>
  </w:style>
  <w:style w:type="paragraph" w:styleId="Revize">
    <w:name w:val="Revision"/>
    <w:hidden/>
    <w:uiPriority w:val="99"/>
    <w:semiHidden/>
    <w:rsid w:val="00110110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108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08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08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08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08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CF454-784E-41BA-99ED-A88CB151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Příloha č. 1a</vt:lpstr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</dc:creator>
  <cp:lastModifiedBy>Uživatel systému Windows</cp:lastModifiedBy>
  <cp:revision>2</cp:revision>
  <cp:lastPrinted>2023-12-12T05:07:00Z</cp:lastPrinted>
  <dcterms:created xsi:type="dcterms:W3CDTF">2024-01-08T11:05:00Z</dcterms:created>
  <dcterms:modified xsi:type="dcterms:W3CDTF">2024-01-08T11:05:00Z</dcterms:modified>
</cp:coreProperties>
</file>